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5.xml" ContentType="application/vnd.openxmlformats-officedocument.drawingml.chart+xml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charts/chart4.xml" ContentType="application/vnd.openxmlformats-officedocument.drawingml.chart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0" w:beforeAutospacing="0" w:after="0" w:afterAutospacing="0"/>
        <w:rPr>
          <w:color w:val="222222"/>
          <w:sz w:val="28"/>
          <w:szCs w:val="28"/>
          <w:lang w:val="ru-RU"/>
        </w:r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</w:pPr>
      <w:r>
        <w:rPr>
          <w:color w:val="222222"/>
          <w:sz w:val="28"/>
          <w:szCs w:val="28"/>
          <w:lang w:val="ru-RU"/>
        </w:rPr>
        <w:t xml:space="preserve">Сам</w:t>
      </w:r>
      <w:r>
        <w:rPr>
          <w:color w:val="222222"/>
          <w:sz w:val="28"/>
          <w:szCs w:val="28"/>
          <w:lang w:val="ru-RU"/>
        </w:rPr>
        <w:t xml:space="preserve">оанализ деятельности воспитателя</w:t>
      </w:r>
      <w:r>
        <w:rPr>
          <w:color w:val="222222"/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 xml:space="preserve">МБДОУ Детский сад № 5</w:t>
      </w:r>
      <w:r/>
    </w:p>
    <w:p>
      <w:pPr>
        <w:jc w:val="center"/>
        <w:spacing w:before="0" w:beforeAutospacing="0" w:after="0" w:afterAutospacing="0"/>
        <w:rPr>
          <w:color w:val="222222"/>
          <w:sz w:val="28"/>
          <w:szCs w:val="28"/>
          <w:lang w:val="ru-RU"/>
        </w:r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</w:pPr>
      <w:r>
        <w:rPr>
          <w:color w:val="222222"/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 xml:space="preserve">пгт</w:t>
      </w:r>
      <w:r>
        <w:rPr>
          <w:color w:val="222222"/>
          <w:sz w:val="28"/>
          <w:szCs w:val="28"/>
          <w:lang w:val="ru-RU"/>
        </w:rPr>
        <w:t xml:space="preserve"> Тымовское </w:t>
      </w:r>
      <w:r/>
    </w:p>
    <w:p>
      <w:pPr>
        <w:jc w:val="center"/>
        <w:spacing w:before="0" w:beforeAutospacing="0" w:after="0" w:afterAutospacing="0"/>
        <w:rPr>
          <w:color w:val="222222"/>
          <w:sz w:val="28"/>
          <w:szCs w:val="28"/>
          <w:lang w:val="ru-RU"/>
        </w:r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</w:pPr>
      <w:r>
        <w:rPr>
          <w:color w:val="222222"/>
          <w:sz w:val="28"/>
          <w:szCs w:val="28"/>
          <w:lang w:val="ru-RU"/>
        </w:rPr>
        <w:t xml:space="preserve">втор</w:t>
      </w:r>
      <w:r>
        <w:rPr>
          <w:color w:val="222222"/>
          <w:sz w:val="28"/>
          <w:szCs w:val="28"/>
          <w:lang w:val="ru-RU"/>
        </w:rPr>
        <w:t xml:space="preserve">ая</w:t>
      </w:r>
      <w:r>
        <w:rPr>
          <w:color w:val="222222"/>
          <w:sz w:val="28"/>
          <w:szCs w:val="28"/>
          <w:lang w:val="ru-RU"/>
        </w:rPr>
        <w:t xml:space="preserve"> младш</w:t>
      </w:r>
      <w:r>
        <w:rPr>
          <w:color w:val="222222"/>
          <w:sz w:val="28"/>
          <w:szCs w:val="28"/>
          <w:lang w:val="ru-RU"/>
        </w:rPr>
        <w:t xml:space="preserve">ая</w:t>
      </w:r>
      <w:r>
        <w:rPr>
          <w:color w:val="222222"/>
          <w:sz w:val="28"/>
          <w:szCs w:val="28"/>
          <w:lang w:val="ru-RU"/>
        </w:rPr>
        <w:t xml:space="preserve"> групп</w:t>
      </w:r>
      <w:r>
        <w:rPr>
          <w:color w:val="222222"/>
          <w:sz w:val="28"/>
          <w:szCs w:val="28"/>
          <w:lang w:val="ru-RU"/>
        </w:rPr>
        <w:t xml:space="preserve">а</w:t>
      </w:r>
      <w:r>
        <w:rPr>
          <w:color w:val="222222"/>
          <w:sz w:val="28"/>
          <w:szCs w:val="28"/>
          <w:lang w:val="ru-RU"/>
        </w:rPr>
        <w:t xml:space="preserve"> за 2021-2022 учебный год</w:t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4111"/>
        <w:gridCol w:w="4049"/>
        <w:gridCol w:w="36"/>
      </w:tblGrid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 педагога:</w:t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Перминова Надежда Андреевна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</w:tr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Должность:</w:t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воспитататель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Возрастной контингент обучающихся:</w:t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 (дети 3-4 лет)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/>
          </w:p>
        </w:tc>
      </w:tr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</w:t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Дата заполнения:</w:t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30.05.2022 г.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РАЗДЕЛ 1. ВЗАИМОДЕЙСТВИЕ С ДЕТЬМИ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Списочный состав 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19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детей, из них 13 девочек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мальчиков.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 детей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лет.</w:t>
      </w:r>
      <w:r>
        <w:rPr>
          <w:lang w:val="ru-RU"/>
        </w:rPr>
        <w:t xml:space="preserve"> 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 работы 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создание каждому ребенку второй младшей группы возможност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развития способностей, широкого взаимодействия с миром, активного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практикования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разных видах деятельности, творческой самореализации.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течении 2021-2022 учебного года образовательная деятельность была направлена на обеспечение непрерывног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о, всестороннего развития каждого ребёнка. Организация образовательного процесса строилась на основе Рабочей программы образовательной деятельности во второй младшей группе общеразвивающей направленности, Рабочей программы воспитания МБДОУ Детский сад № 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пгт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Тымовское, ФГОС ДО.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YS Text" w:hAnsi="YS Text" w:cs="Times New Roman" w:eastAsia="Times New Roman"/>
          <w:color w:val="000000"/>
          <w:sz w:val="24"/>
          <w:szCs w:val="24"/>
          <w:lang w:val="ru-RU" w:eastAsia="ru-RU"/>
        </w:rPr>
        <w:t xml:space="preserve">В данном учебном году уделяла больше внимания и времени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YS Text" w:hAnsi="YS Text" w:cs="Times New Roman" w:eastAsia="Times New Roman"/>
          <w:color w:val="000000"/>
          <w:sz w:val="24"/>
          <w:szCs w:val="24"/>
          <w:lang w:val="ru-RU" w:eastAsia="ru-RU"/>
        </w:rPr>
        <w:t xml:space="preserve">создание в группе атмосферы гуманного и доброжелательного отношения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YS Text" w:hAnsi="YS Text" w:cs="Times New Roman" w:eastAsia="Times New Roman"/>
          <w:color w:val="000000"/>
          <w:sz w:val="24"/>
          <w:szCs w:val="24"/>
          <w:lang w:val="ru-RU" w:eastAsia="ru-RU"/>
        </w:rPr>
        <w:t xml:space="preserve">воспитанников друг к другу, что позволило им расти добрыми,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YS Text" w:hAnsi="YS Text" w:cs="Times New Roman" w:eastAsia="Times New Roman"/>
          <w:color w:val="000000"/>
          <w:sz w:val="24"/>
          <w:szCs w:val="24"/>
          <w:lang w:val="ru-RU" w:eastAsia="ru-RU"/>
        </w:rPr>
        <w:t xml:space="preserve">любознательными, инициативными, стремящимися к самостоятельности.</w:t>
      </w:r>
      <w:r/>
    </w:p>
    <w:p>
      <w:pPr>
        <w:ind w:firstLine="709"/>
        <w:jc w:val="both"/>
        <w:spacing w:before="0" w:beforeAutospacing="0" w:after="0" w:afterAutospacing="0"/>
        <w:rPr>
          <w:rFonts w:ascii="YS Text" w:hAnsi="YS Text" w:cs="Times New Roman" w:eastAsia="Times New Roman"/>
          <w:color w:val="000000"/>
          <w:sz w:val="24"/>
          <w:szCs w:val="24"/>
          <w:lang w:val="ru-RU" w:eastAsia="ru-RU"/>
        </w:rPr>
      </w:pPr>
      <w:r>
        <w:rPr>
          <w:rFonts w:ascii="YS Text" w:hAnsi="YS Text" w:cs="Times New Roman" w:eastAsia="Times New Roman"/>
          <w:color w:val="000000"/>
          <w:sz w:val="24"/>
          <w:szCs w:val="24"/>
          <w:lang w:val="ru-RU" w:eastAsia="ru-RU"/>
        </w:rPr>
        <w:t xml:space="preserve">Максимально использовала разнообразные виды детской деятельности 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YS Text" w:hAnsi="YS Text" w:cs="Times New Roman" w:eastAsia="Times New Roman"/>
          <w:color w:val="000000"/>
          <w:sz w:val="24"/>
          <w:szCs w:val="24"/>
          <w:lang w:val="ru-RU" w:eastAsia="ru-RU"/>
        </w:rPr>
        <w:t xml:space="preserve">интеграцию в целях повышения эффективности образовательного процесса.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YS Text" w:hAnsi="YS Text" w:cs="Times New Roman" w:eastAsia="Times New Roman"/>
          <w:color w:val="000000"/>
          <w:sz w:val="24"/>
          <w:szCs w:val="24"/>
          <w:lang w:val="ru-RU" w:eastAsia="ru-RU"/>
        </w:rPr>
        <w:t xml:space="preserve">Использовала дидактический материал на занятиях в играх с детьми</w:t>
      </w:r>
      <w:r>
        <w:rPr>
          <w:rFonts w:ascii="YS Text" w:hAnsi="YS Text" w:cs="Times New Roman" w:eastAsia="Times New Roman"/>
          <w:color w:val="000000"/>
          <w:sz w:val="24"/>
          <w:szCs w:val="24"/>
          <w:lang w:val="ru-RU" w:eastAsia="ru-RU"/>
        </w:rPr>
        <w:t xml:space="preserve">.</w:t>
      </w:r>
      <w:r/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Образовательная область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Речевое развитие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течения года были поставлены задачи:</w:t>
      </w:r>
      <w:r/>
    </w:p>
    <w:p>
      <w:pPr>
        <w:pStyle w:val="864"/>
        <w:numPr>
          <w:ilvl w:val="0"/>
          <w:numId w:val="23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Развивать умение понимать обращенную речь с опорой и без опоры на наглядность.</w:t>
      </w:r>
      <w:r/>
    </w:p>
    <w:p>
      <w:pPr>
        <w:pStyle w:val="864"/>
        <w:numPr>
          <w:ilvl w:val="0"/>
          <w:numId w:val="23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Развивать умение отвечать на вопросы, используя форму простого предложения или высказывания из 2-3-х простых фраз.</w:t>
      </w:r>
      <w:r/>
    </w:p>
    <w:p>
      <w:pPr>
        <w:pStyle w:val="864"/>
        <w:numPr>
          <w:ilvl w:val="0"/>
          <w:numId w:val="23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Развивать умение использовать в речи правильное сочетание прилагательных и существительных в роде, падеже.</w:t>
      </w:r>
      <w:r/>
    </w:p>
    <w:p>
      <w:pPr>
        <w:pStyle w:val="864"/>
        <w:numPr>
          <w:ilvl w:val="0"/>
          <w:numId w:val="23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Обогащать словарь детей </w:t>
      </w:r>
      <w:r/>
    </w:p>
    <w:p>
      <w:pPr>
        <w:pStyle w:val="864"/>
        <w:numPr>
          <w:ilvl w:val="0"/>
          <w:numId w:val="23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Развивать умение воспроизводить ритм стихотворения, правильно пользоваться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речевым дыханием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</w:t>
      </w:r>
      <w:r/>
    </w:p>
    <w:p>
      <w:pPr>
        <w:pStyle w:val="864"/>
        <w:numPr>
          <w:ilvl w:val="0"/>
          <w:numId w:val="23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Воспитывать у детей интерес к фольклорным и литературным текстам,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стремление внимательно их слушать.</w:t>
      </w:r>
      <w:r/>
    </w:p>
    <w:p>
      <w:pPr>
        <w:pStyle w:val="864"/>
        <w:numPr>
          <w:ilvl w:val="0"/>
          <w:numId w:val="23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Развивать умения воспринимать текст, с помощью взрослого понимать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содержание, устанавливать порядок событий в тексте, помогать мысленно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представлять события и героев, устанавливать простейшие связи последовательности событий в тексте.</w:t>
      </w:r>
      <w:r/>
    </w:p>
    <w:p>
      <w:pPr>
        <w:pStyle w:val="864"/>
        <w:numPr>
          <w:ilvl w:val="0"/>
          <w:numId w:val="23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Поддерживать желание эмоционально откликаться на чтение и рассказывание, активно содействовать и сопереживать изображенным героям и событиям.</w:t>
      </w:r>
      <w:r/>
    </w:p>
    <w:p>
      <w:pPr>
        <w:pStyle w:val="864"/>
        <w:numPr>
          <w:ilvl w:val="0"/>
          <w:numId w:val="23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Привлекать к исполнению стихов, предсказыванию знакомых сказок 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рассказов</w:t>
      </w:r>
      <w:r/>
    </w:p>
    <w:p>
      <w:pPr>
        <w:pStyle w:val="864"/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lang w:val="ru-RU" w:eastAsia="ru-RU"/>
        </w:rPr>
        <w:drawing>
          <wp:anchor xmlns:wp="http://schemas.openxmlformats.org/drawingml/2006/wordprocessingDrawing" distT="0" distB="0" distL="114300" distR="114300" simplePos="0" relativeHeight="251655680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462915</wp:posOffset>
            </wp:positionV>
            <wp:extent cx="3562350" cy="1952625"/>
            <wp:effectExtent l="0" t="0" r="0" b="9525"/>
            <wp:wrapTopAndBottom/>
            <wp:docPr id="1" name="Диаграмма 2" hidden="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На основе проведенной диагностики на конец учебного года можно увидеть общей показатель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</w:t>
      </w:r>
      <w:r/>
    </w:p>
    <w:p>
      <w:pPr>
        <w:jc w:val="both"/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Западающими критериями стали: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Заучивает стихи и читает их перед зрителями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Устанавливает связь между историями и собственным опытом ("Я тоже видел…", "И у нас было…")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 w:cs="Times New Roman" w:eastAsia="Times New Roman"/>
          <w:color w:val="000000"/>
          <w:lang w:val="ru-RU" w:eastAsia="ru-RU"/>
        </w:rPr>
      </w:pPr>
      <w:r>
        <w:rPr>
          <w:rFonts w:ascii="Times New Roman" w:hAnsi="Times New Roman" w:cs="Times New Roman" w:eastAsia="Times New Roman"/>
          <w:color w:val="000000"/>
          <w:lang w:val="ru-RU" w:eastAsia="ru-RU"/>
        </w:rPr>
        <w:t xml:space="preserve">Говорит понятно не только для близких, но и для посторонних людей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Самостоятельно строит рассказ о каком-либо событии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Понимает смысл предлогов; на, с, из, под, за; правильно использует их в речи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Пересказывает сказки, истории, рассказы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Использует в речи прилагательные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Прежде всего такие показатели связанны с тем, что в группе 32%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(6)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детей плохо говорящие.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Слабо развиты компоненты устной речи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(грамматический строй, произносительной стороны, связная речь не могут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построить диалог). Разговорная речь не понятна и дети не всегда идут на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контакт (отмалчиваются). На занятиях пассивны, молчаливы со всем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соглашаются. Инициативы не проявляют.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Остальная часть детей достигла хороших результатов. Они прекрасно понимают обращённую речь, отвечают на вопросы, используют прилагательные, умеют пересказывать небольшие произведения.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 этих детей значительно увеличился активный словарь.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Но к сожалению, не умеют рассказывать стихотворения на публику. 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течение года использовала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мнематехнику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 пересказу сказок.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Положительный отклик от детей получила от использования технологии 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Сторисек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– приобщение детей к художественной литературе.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Применяла дидактические игры «Доскажи словечко», «Продолжи рассказ», «Какой, какая, как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и т.д. 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связи с эти планирую на 2022-2023 г.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плохо говорящими детьми проводить больше индивидуальной работы, а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также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оказывать их родителям дополнительные консультации и подбор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материалов для развития речи.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 также провести работу по устранению застенчивости при публичном рассказывании заученных стихотворений. </w:t>
      </w:r>
      <w:r/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Образовательная область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Познавательное развитие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</w:t>
      </w:r>
      <w:r/>
    </w:p>
    <w:p>
      <w:pPr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течения года были поставлены задачи: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экспериментировать с разнообразными материалами).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Развивать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представ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 и дидактических играх и других видах деятельности).</w:t>
      </w:r>
      <w:r/>
    </w:p>
    <w:p>
      <w:pPr>
        <w:pStyle w:val="864"/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lang w:val="ru-RU" w:eastAsia="ru-RU"/>
        </w:rPr>
        <w:drawing>
          <wp:anchor xmlns:wp="http://schemas.openxmlformats.org/drawingml/2006/wordprocessingDrawing" distT="0" distB="0" distL="114300" distR="114300" simplePos="0" relativeHeight="251656704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372110</wp:posOffset>
            </wp:positionV>
            <wp:extent cx="3514725" cy="2066925"/>
            <wp:effectExtent l="0" t="0" r="9525" b="9525"/>
            <wp:wrapTopAndBottom/>
            <wp:docPr id="2" name="Диаграмма 1" hidden="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На основе проведенной диагностики на конец учебного года можно увидеть общей показатель 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Западающими критериями стали: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Знает название своего города/посёлка/села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Пытается считать и пересчитывать предметы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Считает до 5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Хороших результатов удалось достигнуть за счет совместной деятельности взрослого и детей. В течения года проводилась исследовательская деятельность по изучение свойств песка, воды,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мыло и т.д. Проведена работа в уголке природы – выращивание и уход за растениями. Начата работа по ежедневному наблюдению за погодой. Детьми усвоены условные обозначения состояния неба. 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удалось достигнуть положительных результатов по освоение цифр и счета. В связи с эти планирую подобрать дидактические игры и разработать пособия по данной теме.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усилить работу по изучению родного поселка. Сделать упор на экскурсии и целевые прогулки. </w:t>
      </w:r>
      <w:r/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Образовательная область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Художественно-эстетическое развитие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течения года были поставлены задачи: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умения внимательно рассматривать картинку, народную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игрушку, узнавать в изображенном знакомые предметы и объекты, устанавливать связь между предметами и их изображением в рисунке, лепке; понимать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сюжет, эмоционально откликаться, реагировать, сопереживать героям; привлечь внимание к некоторым средствам выразительности.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Развивать у детей интерес к участию в образовательных ситуациях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играх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эстетической направленности, желание рисовать, лепить совместно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 взрослым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самостоятельно.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Развивать умения создавать простые изображения, принимать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замысел, предложенный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взрослым, раскрывать его в работе, используя освоенные способы создания изображения, формы, элементарную композицию.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Создавать условия для освоения детьми свойств и возможностей изобразительных материалов и инструментов и развивать мелкую моторику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умения 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инструменты.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Побуждать к самостоятельному выбору способов изображения на 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освоенных технических приемов.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Воспитывать у детей слуховую сосредоточенность и эмоциональную отзывчивость на музыку.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</w:t>
      </w:r>
      <w:r/>
    </w:p>
    <w:p>
      <w:pPr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проведенной диагностики на конец учебного года можно увидеть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</w:t>
      </w:r>
      <w:r/>
    </w:p>
    <w:p>
      <w:pPr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 w:eastAsia="ru-RU"/>
        </w:rPr>
        <w:drawing>
          <wp:anchor xmlns:wp="http://schemas.openxmlformats.org/drawingml/2006/wordprocessingDrawing" distT="0" distB="0" distL="114300" distR="114300" simplePos="0" relativeHeight="251658752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190500</wp:posOffset>
            </wp:positionV>
            <wp:extent cx="3876675" cy="1857375"/>
            <wp:effectExtent l="0" t="0" r="9525" b="9525"/>
            <wp:wrapTopAndBottom/>
            <wp:docPr id="3" name="Диаграмма 5" hidden="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/>
    </w:p>
    <w:p>
      <w:pPr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</w:r>
      <w:r/>
    </w:p>
    <w:p>
      <w:pPr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Западающими критериями стали: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Изображает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предметы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сюжеты простые по композиции и содержанию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самостоятельном рисовании стремится заполнить все пространство листа, рисунок носит законченный характер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лепке и рисунке передает форму предметов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Демонстрирует элементарные вокально-хоровые навыки</w:t>
      </w:r>
      <w:r/>
    </w:p>
    <w:p>
      <w:pPr>
        <w:pStyle w:val="864"/>
        <w:ind w:left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</w:r>
      <w:r/>
    </w:p>
    <w:p>
      <w:pPr>
        <w:pStyle w:val="864"/>
        <w:ind w:left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</w:r>
      <w:r/>
    </w:p>
    <w:p>
      <w:pPr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учебного года большая часть проводимой продуктивной деятельности была направлена на развитие индивидуальности. Использовались нетрадиционные техники рисования, лепки, аппликации. </w:t>
      </w:r>
      <w:r/>
    </w:p>
    <w:p>
      <w:pPr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Большая часть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за год не научилась передавать форму предмета в лепке и рисование, рисунки имеют незаконченный характер. Прежде всего это связанно с неусидчивостью детей и неумением доводить задуманное до конца. Во время рисования и лепки дети постоянно отвлекаются.</w:t>
      </w:r>
      <w:r/>
    </w:p>
    <w:p>
      <w:pPr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Дети плохо демонстрируют свои вокально-хоровые навыки, связанно это с тем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/3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плохо говорящие дети, а также большая часть детей застенчива. </w:t>
      </w:r>
      <w:r/>
    </w:p>
    <w:p>
      <w:pPr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Планирую провести работу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устранению застенчивости при публичном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выступление.</w:t>
      </w:r>
      <w:r/>
    </w:p>
    <w:p>
      <w:pPr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подобрать формы работы по передачи формы предметов в лепке и рисование. Ввести в уголок по художественной деятельности карты-алгоритмы по лепки и рисованию. Это позволит отследить детям этапы работы и увидеть законченную работу. </w:t>
      </w:r>
      <w:r/>
    </w:p>
    <w:p>
      <w:pPr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</w:r>
      <w:r/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Образовательная область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Социально-коммуникативное развитие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течения года были поставлены задачи: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Способствовать установлению положительных контактов между детьми,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основанных на общих интересах к действиям с игрушками, предметами и взаимной симпатии.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Развивать эмоциональную отзывчивость, любовь к родителям, привязанность и доверие к воспитателю.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Помогать детям в освоении способов взаимодействия со сверстниками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игре, 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пр.).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Постепенно приучать детей к выполнению элементарных правил культуры поведения в детском саду.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 w:eastAsia="ru-RU"/>
        </w:rPr>
        <w:drawing>
          <wp:anchor xmlns:wp="http://schemas.openxmlformats.org/drawingml/2006/wordprocessingDrawing" distT="0" distB="0" distL="114300" distR="114300" simplePos="0" relativeHeight="251658240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477520</wp:posOffset>
            </wp:positionV>
            <wp:extent cx="3352800" cy="2009775"/>
            <wp:effectExtent l="0" t="0" r="0" b="9525"/>
            <wp:wrapTopAndBottom/>
            <wp:docPr id="4" name="Диаграмма 3" hidden="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проведенной диагностики на конец учебного года можно увидеть общий показатель.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Западающими критериями стали: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 w:cs="Times New Roman" w:eastAsia="Times New Roman"/>
          <w:color w:val="000000"/>
          <w:lang w:val="ru-RU" w:eastAsia="ru-RU"/>
        </w:rPr>
      </w:pPr>
      <w:r>
        <w:rPr>
          <w:rFonts w:ascii="Times New Roman" w:hAnsi="Times New Roman" w:cs="Times New Roman" w:eastAsia="Times New Roman"/>
          <w:color w:val="000000"/>
          <w:lang w:val="ru-RU" w:eastAsia="ru-RU"/>
        </w:rPr>
        <w:t xml:space="preserve">Делает попытки выразить сочувствие, пожалеть сверстника, обнять его, помочь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Адекватно реагирует на замечания и предложения взрослого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 w:cs="Times New Roman" w:eastAsia="Times New Roman"/>
          <w:color w:val="000000"/>
          <w:lang w:val="ru-RU" w:eastAsia="ru-RU"/>
        </w:rPr>
      </w:pPr>
      <w:r>
        <w:rPr>
          <w:rFonts w:ascii="Times New Roman" w:hAnsi="Times New Roman" w:cs="Times New Roman" w:eastAsia="Times New Roman"/>
          <w:color w:val="000000"/>
          <w:lang w:val="ru-RU" w:eastAsia="ru-RU"/>
        </w:rPr>
        <w:t xml:space="preserve">В случае затруднения обращается за помощью к близкому взрослому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Делится своими впечатлениями с воспитателями, родителями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речи налаживает контакты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Проявляет настойчивость в достижении результата своих действий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Без слез и с удовольствием ходит в детский сад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удалось достигнуть хороших результатов по области развития из-за того, что часть детей часто пропускает без причин или по болезни детский сад. У многих детей очень сильная привязанность к маме, что приводит к слезам в часы утреннего приема. 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года большая часть работы была 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аправлена на развитие дружелюбности, умение делиться игрушками и играть вместе. Проводились коммуникативные игры «Комплимент», «Улыбнись другу», «Дружный Круг» и т.д. Проводились беседы «Вместе весело играть», «Не обижай друга», «Драться не хорошо» и т.д.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Считаю, что у детей недостаточно развит эмоциональный интеллект. Дети зачастую дети выражают свои чувства только с помощью криков и слез, отказываются сразу идти на контакт.  В связи с этим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планирую разработать и апробировать тематический период «Эмоции» в течение года.  </w:t>
      </w:r>
      <w:r/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Образовательная область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Физическое развитие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течения года были поставлены задачи: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Развивать у детей потребность в двигательной активности, интерес к физическим упражнениям.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Целенаправленно развивать у детей физические качества: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скоростносиловые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быстроту реакции на сигналы и действие в соответствии с ними; содействовать развитию координации, общей выносливости, силы, гибкости.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Развивать у детей умение согласовывать свои действия с движениями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Развивать умения самостоятельно правильно умываться, причесываться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пользоваться носовым платком, туалетом, одеваться и раздеваться при незначительной помощи, ухаживать за своими вещами и игрушками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Развивать навыки культурного поведения во время еды, правильно пользоваться ложкой, вилкой, салфеткой.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проведенной диагностики на конец учебного года можно увидеть общий показатель.</w:t>
      </w:r>
      <w:r/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 w:eastAsia="ru-RU"/>
        </w:rPr>
        <w:drawing>
          <wp:anchor xmlns:wp="http://schemas.openxmlformats.org/drawingml/2006/wordprocessingDrawing" distT="0" distB="0" distL="114300" distR="114300" simplePos="0" relativeHeight="251659776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191135</wp:posOffset>
            </wp:positionV>
            <wp:extent cx="2990850" cy="1962150"/>
            <wp:effectExtent l="0" t="0" r="0" b="0"/>
            <wp:wrapThrough wrapText="bothSides">
              <wp:wrapPolygon edited="1">
                <wp:start x="0" y="0"/>
                <wp:lineTo x="0" y="21390"/>
                <wp:lineTo x="21462" y="21390"/>
                <wp:lineTo x="21462" y="0"/>
                <wp:lineTo x="0" y="0"/>
              </wp:wrapPolygon>
            </wp:wrapThrough>
            <wp:docPr id="5" name="Диаграмма 4" hidden="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/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r>
      <w:r/>
    </w:p>
    <w:p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Западающими критериями стали: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Бросает мяч вверх 2-3 раза и ловит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Ударяет мячом об пол 2-3 раза и ловит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Может без остановки пробежать 150 - 180 м</w:t>
      </w:r>
      <w:r/>
    </w:p>
    <w:p>
      <w:pPr>
        <w:pStyle w:val="864"/>
        <w:numPr>
          <w:ilvl w:val="0"/>
          <w:numId w:val="22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Направлено и с усилием кидает малый мяч одной рукой</w:t>
      </w:r>
      <w:r/>
    </w:p>
    <w:p>
      <w:pPr>
        <w:pStyle w:val="864"/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Положительных результатов добилась в области развития культурно-гигиенических навыков на счет постоянных бесед, прямых указаний и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применение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наглядного метода – алгоритмов действий. Дети научились самостоятельно переодеваться и раздеваться, пользоваться правильно ложкой и салфеткой, правильно умываться. </w:t>
      </w:r>
      <w:r/>
    </w:p>
    <w:p>
      <w:pPr>
        <w:pStyle w:val="864"/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 западающим критерием планирую на бедующий год усилить работу с помощью подвижных игр. Для этого планирую вступить в проект «4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D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игра» от Университета детства. </w:t>
      </w:r>
      <w:r/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Создание развивающей предметно-пространственной среды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учебном году был создан уголок экспериментирования и уголок природы. Данный уголок был наполнен следующими материалами и пособиями:</w:t>
      </w:r>
      <w:r/>
    </w:p>
    <w:p>
      <w:pPr>
        <w:pStyle w:val="864"/>
        <w:numPr>
          <w:ilvl w:val="0"/>
          <w:numId w:val="19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кинетический песок</w:t>
      </w:r>
      <w:r/>
    </w:p>
    <w:p>
      <w:pPr>
        <w:pStyle w:val="864"/>
        <w:numPr>
          <w:ilvl w:val="0"/>
          <w:numId w:val="19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лупы</w:t>
      </w:r>
      <w:r/>
    </w:p>
    <w:p>
      <w:pPr>
        <w:pStyle w:val="864"/>
        <w:numPr>
          <w:ilvl w:val="0"/>
          <w:numId w:val="19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перья</w:t>
      </w:r>
      <w:r/>
    </w:p>
    <w:p>
      <w:pPr>
        <w:pStyle w:val="864"/>
        <w:numPr>
          <w:ilvl w:val="0"/>
          <w:numId w:val="19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шишки</w:t>
      </w:r>
      <w:r/>
    </w:p>
    <w:p>
      <w:pPr>
        <w:pStyle w:val="864"/>
        <w:numPr>
          <w:ilvl w:val="0"/>
          <w:numId w:val="19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камни</w:t>
      </w:r>
      <w:r/>
    </w:p>
    <w:p>
      <w:pPr>
        <w:pStyle w:val="864"/>
        <w:numPr>
          <w:ilvl w:val="0"/>
          <w:numId w:val="19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ракушки</w:t>
      </w:r>
      <w:r/>
    </w:p>
    <w:p>
      <w:pPr>
        <w:pStyle w:val="864"/>
        <w:numPr>
          <w:ilvl w:val="0"/>
          <w:numId w:val="19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мелкие игрушки и предметы для проведения простых опытов </w:t>
      </w:r>
      <w:r/>
    </w:p>
    <w:p>
      <w:pPr>
        <w:pStyle w:val="864"/>
        <w:numPr>
          <w:ilvl w:val="0"/>
          <w:numId w:val="19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карточки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Праздники 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/>
    </w:p>
    <w:p>
      <w:pPr>
        <w:pStyle w:val="864"/>
        <w:numPr>
          <w:ilvl w:val="0"/>
          <w:numId w:val="19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сюжетные картинки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Временна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/>
    </w:p>
    <w:p>
      <w:pPr>
        <w:pStyle w:val="864"/>
        <w:numPr>
          <w:ilvl w:val="0"/>
          <w:numId w:val="19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карточки природные явления, состояния неба и т.д. </w:t>
      </w:r>
      <w:r/>
    </w:p>
    <w:p>
      <w:pPr>
        <w:pStyle w:val="864"/>
        <w:numPr>
          <w:ilvl w:val="0"/>
          <w:numId w:val="19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карточки-алгоритмы уход за растениями</w:t>
      </w:r>
      <w:r/>
    </w:p>
    <w:p>
      <w:pPr>
        <w:pStyle w:val="864"/>
        <w:numPr>
          <w:ilvl w:val="0"/>
          <w:numId w:val="19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книги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виммельбух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Времена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/>
    </w:p>
    <w:p>
      <w:pPr>
        <w:pStyle w:val="864"/>
        <w:numPr>
          <w:ilvl w:val="0"/>
          <w:numId w:val="19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дидактические игры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Чей малыш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Кто где живет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т.д.</w:t>
      </w:r>
      <w:r/>
    </w:p>
    <w:p>
      <w:pPr>
        <w:ind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группе появились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мнемотаблицы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пересказа сказок. Составлены алгоритмы умывания. </w:t>
      </w:r>
      <w:r/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Использование современных технологий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деятельности,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успешность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применения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учебном году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мной разработаны и апробированы три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педагогических проекта:</w:t>
      </w:r>
      <w:r/>
    </w:p>
    <w:p>
      <w:pPr>
        <w:pStyle w:val="864"/>
        <w:numPr>
          <w:ilvl w:val="0"/>
          <w:numId w:val="19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Проект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Волшебное мыло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с целью формирования представлений о правилах личной гигиены у детей младшего дошкольного возраста через исследовательскую деятельность</w:t>
      </w:r>
      <w:r/>
    </w:p>
    <w:p>
      <w:pPr>
        <w:pStyle w:val="864"/>
        <w:numPr>
          <w:ilvl w:val="0"/>
          <w:numId w:val="19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Проект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Добрые сказки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В.Сутеева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с целью активизировать познавательно-речевую деятельность детей через интеграцию образовательных областей и приобщение к художественной литературе через творчество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В.Г.Сутеева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</w:t>
      </w:r>
      <w:r/>
    </w:p>
    <w:p>
      <w:pPr>
        <w:pStyle w:val="864"/>
        <w:numPr>
          <w:ilvl w:val="0"/>
          <w:numId w:val="19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Проект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Светлая Пасха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с целью приобщение младших дошкольников к национальной культуре, посредством формирования интереса к традициям и обычаям празднования христианского праздника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Пасха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</w:t>
      </w:r>
      <w:r/>
    </w:p>
    <w:p>
      <w:pPr>
        <w:pStyle w:val="864"/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Данная деятельность позволила систематизировать работу над единой темой,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подобрать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интересные формы работы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включить всех детей в познавательный процесс. </w:t>
      </w:r>
      <w:r/>
    </w:p>
    <w:p>
      <w:pPr>
        <w:pStyle w:val="864"/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Применена технология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Сторисек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для приобщения детей к художественной литературе, так к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ак было выявлено, что детей не интересует чтение. Данная технология позволила ввести в образовательный процесс театрализованную деятельность – постановки на основе сказок. Использовалась мнемотехника для обучения детей пересказу прочитанного произведения. </w:t>
      </w:r>
      <w:r/>
    </w:p>
    <w:p>
      <w:pPr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Эффективность работы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снижению заболеваемости воспитанников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Детям проводились плановые прививки в соответствие с Календарем вакцинации.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группе проводится ежедневно проветривание. 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ежедневно проводится утренняя гимнастка и бодрящая гимнастика после сна. После проведения бодрящей гимнастики дети ходят по ортопедическим коврикам, тем самым идет профилактика плоскостопия. После дневного сна дети умываются прохладной водой. </w:t>
      </w:r>
      <w:r/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Выявление творчески одаренных детей,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сопровождение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ДОО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разработанной программой (планом сопровождения)</w:t>
      </w:r>
      <w:r/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текущем учебном году не было выявлено одаренных детей.</w:t>
      </w:r>
      <w:r/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участия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мероприятиях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конкурсах различных уровней</w:t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1338"/>
        <w:gridCol w:w="1397"/>
        <w:gridCol w:w="3354"/>
        <w:gridCol w:w="1583"/>
        <w:gridCol w:w="1385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ребенка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проведения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мероприятия, конкурса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Уровень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Достижение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Михайлова Василиса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11.04-12.04.2022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Всероссийский детский творческий конкурс, посвященный Дню космонавтики и первому полету человека в космос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Всероссийский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Диплом 1 место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Ежовкина</w:t>
            </w:r>
            <w:r>
              <w:rPr>
                <w:lang w:val="ru-RU"/>
              </w:rPr>
              <w:t xml:space="preserve"> Милана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11.04</w:t>
            </w:r>
            <w:r>
              <w:rPr>
                <w:lang w:val="ru-RU"/>
              </w:rPr>
              <w:t xml:space="preserve">-12.04.2022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Всероссийский детский творческий конкурс, посвященный Дню космонавтики и первому полету человека в космос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Всероссийский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Диплом 1 место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Селянин Богдан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11.04-</w:t>
            </w:r>
            <w:r>
              <w:rPr>
                <w:lang w:val="ru-RU"/>
              </w:rPr>
              <w:t xml:space="preserve">12.04.2022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Всероссийский детский творческий конкурс, посвященный Дню космонавтики и первому полету человека в космос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Всероссийский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Диплом 2 место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Дробот</w:t>
            </w:r>
            <w:r>
              <w:rPr>
                <w:lang w:val="ru-RU"/>
              </w:rPr>
              <w:t xml:space="preserve"> Юля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18.03-19.04.2022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Всероссийский конкурс в рамках федерального проекта Успех каждого ребенка. Номинация для дошкольников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Светлый праздник - Светлая Пасха</w:t>
            </w:r>
            <w:r>
              <w:rPr>
                <w:lang w:val="ru-RU"/>
              </w:rPr>
              <w:t xml:space="preserve">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Всероссийский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Диплом 1 место</w:t>
            </w:r>
            <w:r/>
          </w:p>
        </w:tc>
      </w:tr>
    </w:tbl>
    <w:p>
      <w:pPr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также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 детьми (16 человек) была проведена Всероссийская олимпиада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Умка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г.Калинград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 теме: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гостях у сказки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где дети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заняли призовые места.</w:t>
      </w:r>
      <w:r/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СОТРУДНИЧЕСТВО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РОДИТЕЛЯМИ</w:t>
      </w:r>
      <w:r/>
    </w:p>
    <w:p>
      <w:pPr>
        <w:ind w:right="181"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учебном году мной были использованы следующие формы взаимодействия с родителями:</w:t>
      </w:r>
      <w:r/>
    </w:p>
    <w:p>
      <w:pPr>
        <w:pStyle w:val="864"/>
        <w:numPr>
          <w:ilvl w:val="0"/>
          <w:numId w:val="19"/>
        </w:numPr>
        <w:ind w:left="0" w:right="181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мастер-классы по совместному творчеству с детьми – изготовление поделок из природного материала, создание коллажей</w:t>
      </w:r>
      <w:r/>
    </w:p>
    <w:p>
      <w:pPr>
        <w:pStyle w:val="864"/>
        <w:numPr>
          <w:ilvl w:val="0"/>
          <w:numId w:val="19"/>
        </w:numPr>
        <w:ind w:left="0" w:right="181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благоустройство прогулочных участков </w:t>
      </w:r>
      <w:r/>
    </w:p>
    <w:p>
      <w:pPr>
        <w:pStyle w:val="864"/>
        <w:numPr>
          <w:ilvl w:val="0"/>
          <w:numId w:val="19"/>
        </w:numPr>
        <w:ind w:left="0" w:right="181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конкурсах и выставках, организованных ДОУ и внутри группы (выставка к Дню Победы, выставка посуды, выставка к светлому дню Пасхи и т.д.; помощь в подготовке к конкурсу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Огород на подоконнике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участие в конкурсах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Косплей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картины художников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Маска, я тебя знаю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</w:t>
      </w:r>
      <w:r/>
    </w:p>
    <w:p>
      <w:pPr>
        <w:ind w:firstLine="709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Еженедельно родители получают информацию 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WhatsApp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</w:t>
      </w:r>
      <w:r/>
    </w:p>
    <w:p>
      <w:pPr>
        <w:pStyle w:val="864"/>
        <w:numPr>
          <w:ilvl w:val="0"/>
          <w:numId w:val="20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положения о конкурсах</w:t>
      </w:r>
      <w:r/>
    </w:p>
    <w:p>
      <w:pPr>
        <w:pStyle w:val="864"/>
        <w:numPr>
          <w:ilvl w:val="0"/>
          <w:numId w:val="20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ссылки на статьи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вебинары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 воспитание и образование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дошкольников</w:t>
      </w:r>
      <w:r/>
    </w:p>
    <w:p>
      <w:pPr>
        <w:pStyle w:val="864"/>
        <w:numPr>
          <w:ilvl w:val="0"/>
          <w:numId w:val="20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важные объявления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разделе Консультационный пункт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мной выложены офлайн материалы:</w:t>
      </w:r>
      <w:r/>
    </w:p>
    <w:p>
      <w:pPr>
        <w:pStyle w:val="864"/>
        <w:numPr>
          <w:ilvl w:val="0"/>
          <w:numId w:val="21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Адаптация детей к условиям ДОУ</w:t>
      </w:r>
      <w:r/>
    </w:p>
    <w:p>
      <w:pPr>
        <w:pStyle w:val="864"/>
        <w:numPr>
          <w:ilvl w:val="0"/>
          <w:numId w:val="21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Сайты с информацией о воспитание и развитие детей</w:t>
      </w:r>
      <w:r/>
    </w:p>
    <w:p>
      <w:pPr>
        <w:pStyle w:val="864"/>
        <w:ind w:left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</w:r>
      <w:r/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САМООБРАЗОВАНИЕ ПЕДАГОГА, УЧАСТИЕ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МЕТОДИЧЕСКОЙ РАБОТЕ ДОО, МУНИЦИПАЛИТЕТА, РЕГИОНА</w:t>
      </w:r>
      <w:r/>
    </w:p>
    <w:p>
      <w:pPr>
        <w:ind w:firstLine="709"/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Повышение квалификации, профессиональная переподготовка: 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 переподготовки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Педагогика и методика дополнительного образования в условиях реализации 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540 ч.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КПК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алгоритмической грамотности у детей 4-7 лет с использованием цифровой образовательной среды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ПиктоМир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36 ч.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КПК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Профессиональный стандарт: развитие цифровой компетентности 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20 ч.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КПК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Одаренные дети. Особенности развития и система сопровождения в системе ДОО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108 ч.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КПК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ИКТ-компетенции педагога. Визуализация учебной информации как средство активизации деятельности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72 ч.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КПК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Поколение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Digital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Natives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образовательная работа в сфере информационной безопасности с детьми дошкольного возраста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34 ч.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КПК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Коррекционная педагогика и особенности образования и воспитания детей с 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73 ч.</w:t>
      </w:r>
      <w:r/>
    </w:p>
    <w:p>
      <w:pPr>
        <w:jc w:val="both"/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Прошла повышение квалификации, прослушав курс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вебинаров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: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Yandex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-марафон: использование российских онлайн инструментов в организации образовательного процесса и администрировании работы образовательной организации, 20 ч.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Профессиональный стандарт педагога: работа с актуальными социальными сетями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мессенжерами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20 ч.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Приемы мнемотехники как инструмент развития памяти дошкольника и младшего школьника в соответствие с ФГОС, 20 ч.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воспитания: новый документооборот и смысловой пересмотр целей и задач воспитания, 8 ч.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Всероссийский форум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Ориентиры детства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Стратегия развития дошкольного образования на основе традиционных духовно-нравственных ценностей народов Российской Федерации, 16 ч.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Образовательный курс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 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8 ч.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Онлайн курс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Нормативно-правовые и практические аспекты антитеррористической защищенности в образовательных 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8 ч.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Обучающий курс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Технологии эффективной коммуникации в работе современного воспитателя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4 ч.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Образовательный курс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Планирование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-образовательной деятельности в ДОО - необходимое условие выполнения требований ФГОС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4 ч.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I Международной Ассамблеи РАО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 в современном мире: формула успеха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Международного онлайн-форума для специалистов образования и социально-культурной сферы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НАУКА И ТЕХНОЛОГИИ В 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Научно-практическая конференция ЕССЕ-РЕГИОН Онлайн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Воспитание дошкольников на основе традиционных духовно-нравственных ценностей народов 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Дальневосточный федеральный округ. Республика Саха (Якутия)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Вебинар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технологии и методики, которые помогут в реализации новой программы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Научно-практическая конференция по теме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кадрового потенциала дошкольного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 года 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Марафон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Цифровая лаборатория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Регионального кампуса Университета Детства Сахалинской области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</w:t>
      </w:r>
      <w:r>
        <w:rPr>
          <w:rFonts w:hAnsi="Times New Roman" w:cs="Times New Roman"/>
          <w:color w:val="000000"/>
          <w:sz w:val="24"/>
          <w:szCs w:val="24"/>
        </w:rPr>
        <w:t xml:space="preserve">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III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Региональных школах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Университет детства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Сахалинской области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Всероссийский форум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воспитание: новые ориентиры для педагогов и 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Всероссийский методический марафон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Опыт реализации программы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Фрёбеля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 робота: растим будущих инженеров (лучшие практики)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</w:t>
      </w:r>
      <w:r/>
    </w:p>
    <w:p>
      <w:pPr>
        <w:pStyle w:val="864"/>
        <w:ind w:left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</w:r>
      <w:r/>
    </w:p>
    <w:p>
      <w:pPr>
        <w:ind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Наличие собственных авторских технологий, обобщенного педагогического опыта, программ, статей: 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Публикация в сборнике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Моя Отчизна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статья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Истории семей и родного края, как средство формирования патриотических чувств дошкольников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Публикация во Всероссийском журнале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Современный урок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статья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Дидактические игры на развитие алгоритмического мышления, как первый шаг в программирование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Публикация во Всероссийском журнале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Современный урок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статья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Поддержка детской инициативы с помощью техники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S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top-motion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–анимация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/>
    </w:p>
    <w:p>
      <w:pPr>
        <w:ind w:firstLine="709"/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Презентация собственного педагогического опыта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открытых формах: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Выступление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 докладом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Дидактические игры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ПиктоИгры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сероссийском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методическом марафоне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Опыт реализации программы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Формирование основ алгоритмизации и программирования у дошкольников и учебников начальной школы в цифровой образовательной среде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ПиктоМир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лучшие практики)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Выступление с докладом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Детская мультипликация - как универсальное средство при поддержке детской инициативы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на заседание РМО воспитателей дошкольный образовательных учреждений Тымовского района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Представление опыта на марафоне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Цифровая лаборатория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Регионального кампуса Университета Детства Сахалинской области по теме: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Онлайн редактор CANVA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</w:t>
      </w:r>
      <w:r/>
    </w:p>
    <w:p>
      <w:pPr>
        <w:ind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Участие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профессиональных конкурсах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 методических разработок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Серебряная сова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дирекции Всероссийского форума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России: инновации в 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/>
    </w:p>
    <w:p>
      <w:pPr>
        <w:pStyle w:val="864"/>
        <w:numPr>
          <w:ilvl w:val="0"/>
          <w:numId w:val="21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Муниципальный конкурс методических пособий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Палитра методических идей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/>
    </w:p>
    <w:p>
      <w:pPr>
        <w:pStyle w:val="864"/>
        <w:numPr>
          <w:ilvl w:val="0"/>
          <w:numId w:val="21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Международный конкурс имени Льва Выготского</w:t>
      </w:r>
      <w:r/>
    </w:p>
    <w:p>
      <w:pPr>
        <w:pStyle w:val="864"/>
        <w:numPr>
          <w:ilvl w:val="0"/>
          <w:numId w:val="21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Региональный фестиваль конкурс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Это все - мое родное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/>
    </w:p>
    <w:p>
      <w:pPr>
        <w:pStyle w:val="864"/>
        <w:numPr>
          <w:ilvl w:val="0"/>
          <w:numId w:val="21"/>
        </w:numPr>
        <w:ind w:left="0"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V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открытый конкурс педагогического мастерства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Лучший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инопедагог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/>
    </w:p>
    <w:p>
      <w:pPr>
        <w:ind w:firstLine="709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Поощрение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различных уровнях: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Грамота за значительные успехи в организации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и воспитательного процессов, формирование нравственного, интеллектуального, культурного развития личности и в честь профессионального праздника Дня учителя от начальника управления образования МО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Тымовский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городской округ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Благодарность проекта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Инфоурок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существенный вклад в методическое обеспечение учебного процесса по преподаваемой дисциплине в рамках крупнейшей онлайн-библиотеке методических разработок для учителей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Благодарственное письмо от Министерства культуры и архивного дела Сахалинской области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Музейно-мемориального комплекса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Победа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За участие в областном фестивале по созданию короткометражных мультипликационных эпизодов по мотивам русских народных сказок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Живая сказка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приуроченном к празднованию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Жня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анимации 8 апреля 2022 года. За сотрудничество в воспитании прирастающего поколения, развития культуры, сохранение семейных ценностей, волю к победе, проявленное усердие и внимание в художественной работе.</w:t>
      </w:r>
      <w:r/>
    </w:p>
    <w:p>
      <w:pPr>
        <w:pStyle w:val="864"/>
        <w:numPr>
          <w:ilvl w:val="0"/>
          <w:numId w:val="21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Благодарность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Университет детства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г.Москва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). Искренняя признательность за участие и предоставление опыта на марафоне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Цифровая лаборатория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Регионального кампуса Университета Детства Сахалинская область по теме: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Онлайн редактор CANVA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</w:t>
      </w:r>
      <w:r/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ОБЩИЙ ВЫВОД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конец учебного года все дети повзрослели, спокойно общаются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друг с другом,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большую часть времени проводят в совместных играх.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вободно общаются с воспитателем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просят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помощи, применяют в речи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вежливые слова, правила этикета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 соблюдают культурно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гигиенические навыки, одеваются и раздеваются в определённой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последовательности, складывают свои вещи после прогулки, знают свои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шкафчики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вещи. 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все дети ещё работают на занятиях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Некоторые дети не сосредоточенны, постоянно отвлекаются. Часть детей из-за плохо развитой речи на занятиях просто молчит.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апоминают с трудом стихи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не могут точно передать форму предмета, не умеют считать до 5. 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дети участву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подвижных играх со словами, соблюдают правила игры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активны в музыкальных играх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театральных постановках.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Слабым ребёнком в группе по усвоению образовательной 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остаётся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Ратибор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Мальчик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пытается участвовать канала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организованных процессах. У ребёнка слабо развита моторика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отсутствуют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компоненты устной и связной речь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Избегает контакта со сверстниками и с трудом идет на контакт со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взрослому.  На данный момент Ратибор проходит обследование у специалистов медучреждений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родителями остаётся важной частью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жедневно велись индивидуальные беседы с 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состоянию здоровья, успеваемости воспитанников.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Выкладываю в рабочую группу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Ватсап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занимательные консультации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возрасту детей.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принимали акти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вное участие в жизни группы по благоустройству прогулочных участков, улучшение развивающей предметно-пространственной развивающей среды, участвовали с детьми в выставках, акциях и конкурсах. Считаю, что в этом направление мной достигнут хороший результат. 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своего профессионального мастерства оцениваю, как высокий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так как, в течении учебного года повышала свою профессиональную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компетентность. Участвовала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марафонах,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конференциях, форумах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вебинарах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прошла курсы повышения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квалификации.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Активно участвую в конкурсах профессионального мастерства. Осваиваю новые направления в ведение сообществ в ВК, и  в Телеграмм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</w:r>
      <w:r/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течение года возникли следующие проблемы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работе:</w:t>
      </w:r>
      <w:r/>
    </w:p>
    <w:p>
      <w:pPr>
        <w:pStyle w:val="864"/>
        <w:numPr>
          <w:ilvl w:val="0"/>
          <w:numId w:val="24"/>
        </w:numPr>
        <w:ind w:left="0" w:firstLine="709"/>
        <w:jc w:val="both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 некоторых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частые пропуски, из-за этого снижается уровень показателей их развития</w:t>
      </w:r>
      <w:r/>
    </w:p>
    <w:p>
      <w:pPr>
        <w:pStyle w:val="864"/>
        <w:numPr>
          <w:ilvl w:val="0"/>
          <w:numId w:val="24"/>
        </w:numPr>
        <w:ind w:left="0" w:firstLine="709"/>
        <w:jc w:val="both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всегда находила общей язык с родителя в вопросах развития и воспитания детей </w:t>
      </w:r>
      <w:r/>
    </w:p>
    <w:p>
      <w:pPr>
        <w:pStyle w:val="864"/>
        <w:numPr>
          <w:ilvl w:val="0"/>
          <w:numId w:val="24"/>
        </w:numPr>
        <w:ind w:left="0" w:firstLine="709"/>
        <w:jc w:val="both"/>
        <w:tabs>
          <w:tab w:val="left" w:pos="993" w:leader="none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недостаточной мере применяла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работе личностно-ориентированный подход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/>
    </w:p>
    <w:p>
      <w:pPr>
        <w:ind w:firstLine="709"/>
        <w:jc w:val="center"/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Определение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проблемного поля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трем направлениям деятельности (дети, родители, самообразование):</w:t>
      </w:r>
      <w:r/>
    </w:p>
    <w:p>
      <w:pPr>
        <w:ind w:firstLine="709"/>
        <w:jc w:val="center"/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r>
      <w:r/>
    </w:p>
    <w:p>
      <w:pPr>
        <w:pStyle w:val="864"/>
        <w:numPr>
          <w:ilvl w:val="0"/>
          <w:numId w:val="24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Посещаемость детей </w:t>
      </w:r>
      <w:r/>
    </w:p>
    <w:p>
      <w:pPr>
        <w:pStyle w:val="864"/>
        <w:numPr>
          <w:ilvl w:val="0"/>
          <w:numId w:val="24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Работа с родителями</w:t>
      </w:r>
      <w:r/>
    </w:p>
    <w:p>
      <w:pPr>
        <w:pStyle w:val="864"/>
        <w:numPr>
          <w:ilvl w:val="0"/>
          <w:numId w:val="24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Использование современных технологий в образовательной деятельности</w:t>
      </w:r>
      <w:r/>
    </w:p>
    <w:p>
      <w:pPr>
        <w:pStyle w:val="864"/>
        <w:numPr>
          <w:ilvl w:val="0"/>
          <w:numId w:val="24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Печать в СМИ</w:t>
      </w:r>
      <w:r/>
    </w:p>
    <w:p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Перспектива профессионального роста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пути решения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проблемных полей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</w:t>
      </w:r>
      <w:r/>
    </w:p>
    <w:p>
      <w:pPr>
        <w:pStyle w:val="864"/>
        <w:numPr>
          <w:ilvl w:val="0"/>
          <w:numId w:val="24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Индивидуальные беседы с родителями о важность беспрерывного посещения ДОУ. А также консультации по укрепление здоровья детей.</w:t>
      </w:r>
      <w:r/>
    </w:p>
    <w:p>
      <w:pPr>
        <w:pStyle w:val="864"/>
        <w:numPr>
          <w:ilvl w:val="0"/>
          <w:numId w:val="24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Подобрать проекты, марафоны по воспитанию детей</w:t>
      </w:r>
      <w:r/>
    </w:p>
    <w:p>
      <w:pPr>
        <w:pStyle w:val="864"/>
        <w:numPr>
          <w:ilvl w:val="0"/>
          <w:numId w:val="24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Изучить и применить в работе технологии по личностно-ориентированному подходу в воспитание детей</w:t>
      </w:r>
      <w:r/>
    </w:p>
    <w:p>
      <w:pPr>
        <w:pStyle w:val="864"/>
        <w:numPr>
          <w:ilvl w:val="0"/>
          <w:numId w:val="24"/>
        </w:numPr>
        <w:ind w:left="0" w:firstLine="709"/>
        <w:jc w:val="both"/>
        <w:spacing w:before="0" w:beforeAutospacing="0" w:after="0" w:afterAutospacing="0"/>
        <w:tabs>
          <w:tab w:val="left" w:pos="993" w:leader="none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Опубликовать статью в печатные СМИ</w:t>
      </w:r>
      <w:r/>
    </w:p>
    <w:p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panose1 w:val="05040102010807070707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23"/>
  </w:num>
  <w:num w:numId="4">
    <w:abstractNumId w:val="14"/>
  </w:num>
  <w:num w:numId="5">
    <w:abstractNumId w:val="13"/>
  </w:num>
  <w:num w:numId="6">
    <w:abstractNumId w:val="20"/>
  </w:num>
  <w:num w:numId="7">
    <w:abstractNumId w:val="2"/>
  </w:num>
  <w:num w:numId="8">
    <w:abstractNumId w:val="5"/>
  </w:num>
  <w:num w:numId="9">
    <w:abstractNumId w:val="18"/>
  </w:num>
  <w:num w:numId="10">
    <w:abstractNumId w:val="0"/>
  </w:num>
  <w:num w:numId="11">
    <w:abstractNumId w:val="21"/>
  </w:num>
  <w:num w:numId="12">
    <w:abstractNumId w:val="12"/>
  </w:num>
  <w:num w:numId="13">
    <w:abstractNumId w:val="8"/>
  </w:num>
  <w:num w:numId="14">
    <w:abstractNumId w:val="19"/>
  </w:num>
  <w:num w:numId="15">
    <w:abstractNumId w:val="11"/>
  </w:num>
  <w:num w:numId="16">
    <w:abstractNumId w:val="16"/>
  </w:num>
  <w:num w:numId="17">
    <w:abstractNumId w:val="7"/>
  </w:num>
  <w:num w:numId="18">
    <w:abstractNumId w:val="4"/>
  </w:num>
  <w:num w:numId="19">
    <w:abstractNumId w:val="22"/>
  </w:num>
  <w:num w:numId="20">
    <w:abstractNumId w:val="1"/>
  </w:num>
  <w:num w:numId="21">
    <w:abstractNumId w:val="10"/>
  </w:num>
  <w:num w:numId="22">
    <w:abstractNumId w:val="9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100" w:beforeAutospacing="1" w:after="100" w:afterAutospacing="1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60"/>
    <w:link w:val="859"/>
    <w:uiPriority w:val="9"/>
    <w:rPr>
      <w:rFonts w:ascii="Arial" w:hAnsi="Arial" w:cs="Arial" w:eastAsia="Arial"/>
      <w:sz w:val="40"/>
      <w:szCs w:val="40"/>
    </w:rPr>
  </w:style>
  <w:style w:type="paragraph" w:styleId="683">
    <w:name w:val="Heading 2"/>
    <w:basedOn w:val="858"/>
    <w:next w:val="858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4">
    <w:name w:val="Heading 2 Char"/>
    <w:basedOn w:val="860"/>
    <w:link w:val="683"/>
    <w:uiPriority w:val="9"/>
    <w:rPr>
      <w:rFonts w:ascii="Arial" w:hAnsi="Arial" w:cs="Arial" w:eastAsia="Arial"/>
      <w:sz w:val="34"/>
    </w:rPr>
  </w:style>
  <w:style w:type="paragraph" w:styleId="685">
    <w:name w:val="Heading 3"/>
    <w:basedOn w:val="858"/>
    <w:next w:val="858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6">
    <w:name w:val="Heading 3 Char"/>
    <w:basedOn w:val="860"/>
    <w:link w:val="685"/>
    <w:uiPriority w:val="9"/>
    <w:rPr>
      <w:rFonts w:ascii="Arial" w:hAnsi="Arial" w:cs="Arial" w:eastAsia="Arial"/>
      <w:sz w:val="30"/>
      <w:szCs w:val="30"/>
    </w:rPr>
  </w:style>
  <w:style w:type="paragraph" w:styleId="687">
    <w:name w:val="Heading 4"/>
    <w:basedOn w:val="858"/>
    <w:next w:val="858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8">
    <w:name w:val="Heading 4 Char"/>
    <w:basedOn w:val="860"/>
    <w:link w:val="687"/>
    <w:uiPriority w:val="9"/>
    <w:rPr>
      <w:rFonts w:ascii="Arial" w:hAnsi="Arial" w:cs="Arial" w:eastAsia="Arial"/>
      <w:b/>
      <w:bCs/>
      <w:sz w:val="26"/>
      <w:szCs w:val="26"/>
    </w:rPr>
  </w:style>
  <w:style w:type="paragraph" w:styleId="689">
    <w:name w:val="Heading 5"/>
    <w:basedOn w:val="858"/>
    <w:next w:val="858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0">
    <w:name w:val="Heading 5 Char"/>
    <w:basedOn w:val="860"/>
    <w:link w:val="689"/>
    <w:uiPriority w:val="9"/>
    <w:rPr>
      <w:rFonts w:ascii="Arial" w:hAnsi="Arial" w:cs="Arial" w:eastAsia="Arial"/>
      <w:b/>
      <w:bCs/>
      <w:sz w:val="24"/>
      <w:szCs w:val="24"/>
    </w:rPr>
  </w:style>
  <w:style w:type="paragraph" w:styleId="691">
    <w:name w:val="Heading 6"/>
    <w:basedOn w:val="858"/>
    <w:next w:val="858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2">
    <w:name w:val="Heading 6 Char"/>
    <w:basedOn w:val="860"/>
    <w:link w:val="691"/>
    <w:uiPriority w:val="9"/>
    <w:rPr>
      <w:rFonts w:ascii="Arial" w:hAnsi="Arial" w:cs="Arial" w:eastAsia="Arial"/>
      <w:b/>
      <w:bCs/>
      <w:sz w:val="22"/>
      <w:szCs w:val="22"/>
    </w:rPr>
  </w:style>
  <w:style w:type="paragraph" w:styleId="693">
    <w:name w:val="Heading 7"/>
    <w:basedOn w:val="858"/>
    <w:next w:val="858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4">
    <w:name w:val="Heading 7 Char"/>
    <w:basedOn w:val="860"/>
    <w:link w:val="6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5">
    <w:name w:val="Heading 8"/>
    <w:basedOn w:val="858"/>
    <w:next w:val="858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6">
    <w:name w:val="Heading 8 Char"/>
    <w:basedOn w:val="860"/>
    <w:link w:val="695"/>
    <w:uiPriority w:val="9"/>
    <w:rPr>
      <w:rFonts w:ascii="Arial" w:hAnsi="Arial" w:cs="Arial" w:eastAsia="Arial"/>
      <w:i/>
      <w:iCs/>
      <w:sz w:val="22"/>
      <w:szCs w:val="22"/>
    </w:rPr>
  </w:style>
  <w:style w:type="paragraph" w:styleId="697">
    <w:name w:val="Heading 9"/>
    <w:basedOn w:val="858"/>
    <w:next w:val="858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8">
    <w:name w:val="Heading 9 Char"/>
    <w:basedOn w:val="860"/>
    <w:link w:val="697"/>
    <w:uiPriority w:val="9"/>
    <w:rPr>
      <w:rFonts w:ascii="Arial" w:hAnsi="Arial" w:cs="Arial" w:eastAsia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60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60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basedOn w:val="860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basedOn w:val="860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60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60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paragraph" w:styleId="859">
    <w:name w:val="Heading 1"/>
    <w:basedOn w:val="858"/>
    <w:next w:val="858"/>
    <w:link w:val="863"/>
    <w:uiPriority w:val="9"/>
    <w:qFormat/>
    <w:pPr>
      <w:keepLines/>
      <w:keepNext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60" w:default="1">
    <w:name w:val="Default Paragraph Font"/>
    <w:uiPriority w:val="1"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character" w:styleId="863" w:customStyle="1">
    <w:name w:val="Заголовок 1 Знак"/>
    <w:basedOn w:val="860"/>
    <w:link w:val="85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64">
    <w:name w:val="List Paragraph"/>
    <w:basedOn w:val="85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Relationship Id="rId13" Type="http://schemas.openxmlformats.org/officeDocument/2006/relationships/chart" Target="charts/chart4.xml" /><Relationship Id="rId14" Type="http://schemas.openxmlformats.org/officeDocument/2006/relationships/chart" Target="charts/chart5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4.xlsx" /></Relationships>
</file>

<file path=word/charts/_rels/chart5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5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Речевое</a:t>
            </a:r>
            <a:r>
              <a:rPr lang="ru-RU"/>
              <a:t> развитие</a:t>
            </a:r>
            <a:endParaRPr/>
          </a:p>
          <a:p>
            <a:pPr>
              <a:defRPr/>
            </a:pPr>
            <a:r>
              <a:rPr lang="ru-RU"/>
              <a:t>вторая младшая группа "Радуга"</a:t>
            </a:r>
            <a:endParaRPr lang="ru-RU"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 bwMode="auto">
            <a:prstGeom prst="rect">
              <a:avLst/>
            </a:prstGeom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plosion val="13"/>
            <c:spPr bwMode="auto">
              <a:prstGeom prst="rect">
                <a:avLst/>
              </a:prstGeom>
              <a:solidFill>
                <a:srgbClr val="FF0000"/>
              </a:solidFill>
              <a:ln w="19050">
                <a:solidFill>
                  <a:schemeClr val="lt1"/>
                </a:solidFill>
                <a:miter/>
              </a:ln>
              <a:effectLst/>
            </c:spPr>
          </c:dPt>
          <c:dPt>
            <c:idx val="1"/>
            <c:invertIfNegative val="0"/>
            <c:bubble3D val="0"/>
            <c:explosion val="16"/>
            <c:spPr bwMode="auto">
              <a:prstGeom prst="rect">
                <a:avLst/>
              </a:prstGeom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invertIfNegative val="0"/>
            <c:bubble3D val="0"/>
            <c:explosion val="6"/>
            <c:spPr bwMode="auto">
              <a:prstGeom prst="rect">
                <a:avLst/>
              </a:prstGeom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Речев!$W$3:$W$5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Речев!$Y$3:$Y$5</c:f>
              <c:numCache>
                <c:formatCode>0%</c:formatCode>
                <c:ptCount val="3"/>
                <c:pt idx="0">
                  <c:v>0.58</c:v>
                </c:pt>
                <c:pt idx="1">
                  <c:v>0.1</c:v>
                </c:pt>
                <c:pt idx="2">
                  <c:v>0.32</c:v>
                </c:pt>
              </c:numCache>
            </c:numRef>
          </c:val>
        </c:ser>
        <c:dLbls>
          <c:dLblPos val="outEnd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00"/>
        <c:axId val="186724208"/>
        <c:axId val="186724536"/>
      </c:barChart>
      <c:catAx>
        <c:axId val="18672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724536"/>
        <c:crosses val="autoZero"/>
        <c:auto val="1"/>
        <c:lblAlgn val="ctr"/>
        <c:lblOffset val="100"/>
        <c:noMultiLvlLbl val="0"/>
      </c:catAx>
      <c:valAx>
        <c:axId val="18672453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724208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0" cy="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Познавательное развитие </a:t>
            </a:r>
            <a:endParaRPr lang="ru-RU"/>
          </a:p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вторая младшая группа "Радуга"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 bwMode="auto">
            <a:prstGeom prst="rect">
              <a:avLst/>
            </a:prstGeom>
            <a:solidFill>
              <a:srgbClr val="FF0000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 bwMode="auto">
              <a:prstGeom prst="rect">
                <a:avLst/>
              </a:prstGeom>
              <a:solidFill>
                <a:srgbClr val="00B050"/>
              </a:solidFill>
              <a:ln w="19050">
                <a:solidFill>
                  <a:schemeClr val="lt1"/>
                </a:solidFill>
                <a:miter/>
              </a:ln>
              <a:effectLst/>
            </c:spPr>
          </c:dPt>
          <c:dPt>
            <c:idx val="2"/>
            <c:invertIfNegative val="0"/>
            <c:bubble3D val="0"/>
            <c:spPr bwMode="auto">
              <a:prstGeom prst="rect">
                <a:avLst/>
              </a:prstGeom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Познават!$W$3:$W$5</c:f>
              <c:strCache>
                <c:ptCount val="3"/>
                <c:pt idx="0">
                  <c:v xml:space="preserve"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Познават!$Y$3:$Y$5</c:f>
              <c:numCache>
                <c:formatCode>0%</c:formatCode>
                <c:ptCount val="3"/>
                <c:pt idx="0">
                  <c:v>0.53</c:v>
                </c:pt>
                <c:pt idx="1">
                  <c:v>0.42</c:v>
                </c:pt>
                <c:pt idx="2">
                  <c:v>0.05</c:v>
                </c:pt>
              </c:numCache>
            </c:numRef>
          </c:val>
        </c:ser>
        <c:dLbls>
          <c:dLblPos val="outEnd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00"/>
        <c:axId val="190616160"/>
        <c:axId val="190617472"/>
      </c:barChart>
      <c:catAx>
        <c:axId val="190616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617472"/>
        <c:crosses val="autoZero"/>
        <c:auto val="1"/>
        <c:lblAlgn val="ctr"/>
        <c:lblOffset val="100"/>
        <c:noMultiLvlLbl val="0"/>
      </c:catAx>
      <c:valAx>
        <c:axId val="19061747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616160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0" cy="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Художественно-эстетическое развитие </a:t>
            </a:r>
            <a:endParaRPr/>
          </a:p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вторая младшая группа "Радуга"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 bwMode="auto">
            <a:prstGeom prst="rect">
              <a:avLst/>
            </a:prstGeom>
            <a:solidFill>
              <a:schemeClr val="accent1"/>
            </a:solidFill>
            <a:ln w="19050">
              <a:solidFill>
                <a:schemeClr val="lt1"/>
              </a:solidFill>
              <a:miter/>
            </a:ln>
            <a:effectLst/>
          </c:spPr>
          <c:invertIfNegative val="0"/>
          <c:dPt>
            <c:idx val="0"/>
            <c:invertIfNegative val="0"/>
            <c:bubble3D val="0"/>
            <c:spPr bwMode="auto">
              <a:prstGeom prst="rect">
                <a:avLst/>
              </a:prstGeom>
              <a:solidFill>
                <a:srgbClr val="FF0000"/>
              </a:solidFill>
              <a:ln w="19050">
                <a:solidFill>
                  <a:schemeClr val="lt1"/>
                </a:solidFill>
                <a:miter/>
              </a:ln>
              <a:effectLst/>
            </c:spPr>
          </c:dPt>
          <c:dPt>
            <c:idx val="1"/>
            <c:invertIfNegative val="0"/>
            <c:bubble3D val="0"/>
            <c:spPr bwMode="auto">
              <a:prstGeom prst="rect">
                <a:avLst/>
              </a:prstGeom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invertIfNegative val="0"/>
            <c:bubble3D val="0"/>
            <c:spPr bwMode="auto">
              <a:prstGeom prst="rect">
                <a:avLst/>
              </a:prstGeom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'Худ.-эстет.'!$W$3:$W$5</c:f>
              <c:strCache>
                <c:ptCount val="3"/>
                <c:pt idx="0">
                  <c:v xml:space="preserve"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'Худ.-эстет.'!$Y$3:$Y$5</c:f>
              <c:numCache>
                <c:formatCode>0%</c:formatCode>
                <c:ptCount val="3"/>
                <c:pt idx="0">
                  <c:v>0.53</c:v>
                </c:pt>
                <c:pt idx="1">
                  <c:v>0.42</c:v>
                </c:pt>
                <c:pt idx="2">
                  <c:v>0.05</c:v>
                </c:pt>
              </c:numCache>
            </c:numRef>
          </c:val>
        </c:ser>
        <c:dLbls>
          <c:dLblPos val="outEnd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00"/>
        <c:axId val="429963880"/>
        <c:axId val="429973064"/>
      </c:barChart>
      <c:catAx>
        <c:axId val="429963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973064"/>
        <c:crosses val="autoZero"/>
        <c:auto val="1"/>
        <c:lblAlgn val="ctr"/>
        <c:lblOffset val="100"/>
        <c:noMultiLvlLbl val="0"/>
      </c:catAx>
      <c:valAx>
        <c:axId val="429973064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963880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0" cy="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Социально-коммуникативное развитие </a:t>
            </a:r>
            <a:endParaRPr lang="ru-RU"/>
          </a:p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Вторая младшая группа "Радуга"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9166781209705401"/>
          <c:y val="0.31831599363332597"/>
          <c:w val="0.84090615474218455"/>
          <c:h val="0.57956990182856982"/>
        </c:manualLayout>
      </c:layout>
      <c:barChart>
        <c:barDir val="col"/>
        <c:grouping val="clustered"/>
        <c:varyColors val="0"/>
        <c:ser>
          <c:idx val="0"/>
          <c:order val="0"/>
          <c:spPr bwMode="auto">
            <a:prstGeom prst="rect">
              <a:avLst/>
            </a:prstGeom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plosion val="7"/>
            <c:spPr bwMode="auto">
              <a:prstGeom prst="rect">
                <a:avLst/>
              </a:prstGeom>
              <a:solidFill>
                <a:srgbClr val="FF0000"/>
              </a:solidFill>
              <a:ln w="19050">
                <a:solidFill>
                  <a:schemeClr val="lt1"/>
                </a:solidFill>
                <a:miter/>
              </a:ln>
              <a:effectLst/>
            </c:spPr>
          </c:dPt>
          <c:dPt>
            <c:idx val="1"/>
            <c:invertIfNegative val="0"/>
            <c:bubble3D val="0"/>
            <c:explosion val="12"/>
            <c:spPr bwMode="auto">
              <a:prstGeom prst="rect">
                <a:avLst/>
              </a:prstGeom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invertIfNegative val="0"/>
            <c:bubble3D val="0"/>
            <c:spPr bwMode="auto">
              <a:prstGeom prst="rect">
                <a:avLst/>
              </a:prstGeom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'Соц.-ком.'!$W$2:$W$4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'Соц.-ком.'!$Y$2:$Y$4</c:f>
              <c:numCache>
                <c:formatCode>0%</c:formatCode>
                <c:ptCount val="3"/>
                <c:pt idx="0">
                  <c:v>0.42</c:v>
                </c:pt>
                <c:pt idx="1">
                  <c:v>0.53</c:v>
                </c:pt>
                <c:pt idx="2">
                  <c:v>0.05</c:v>
                </c:pt>
              </c:numCache>
            </c:numRef>
          </c:val>
        </c:ser>
        <c:dLbls>
          <c:dLblPos val="outEnd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00"/>
        <c:axId val="190358896"/>
        <c:axId val="190358240"/>
      </c:barChart>
      <c:catAx>
        <c:axId val="19035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358240"/>
        <c:crosses val="autoZero"/>
        <c:auto val="1"/>
        <c:lblAlgn val="ctr"/>
        <c:lblOffset val="100"/>
        <c:noMultiLvlLbl val="0"/>
      </c:catAx>
      <c:valAx>
        <c:axId val="19035824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358896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0" cy="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Физическое развитие </a:t>
            </a:r>
            <a:endParaRPr/>
          </a:p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вторая младшая группа "Радуга"</a:t>
            </a:r>
            <a:endParaRPr/>
          </a:p>
        </c:rich>
      </c:tx>
      <c:layout>
        <c:manualLayout>
          <c:xMode val="edge"/>
          <c:yMode val="edge"/>
          <c:x val="0.078655566143404063"/>
          <c:y val="0.062338251407894382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 bwMode="auto">
              <a:prstGeom prst="rect">
                <a:avLst/>
              </a:prstGeom>
              <a:solidFill>
                <a:srgbClr val="FF0000"/>
              </a:solidFill>
              <a:ln>
                <a:noFill/>
                <a:miter/>
              </a:ln>
              <a:effectLst/>
            </c:spPr>
          </c:dPt>
          <c:dPt>
            <c:idx val="1"/>
            <c:invertIfNegative val="0"/>
            <c:bubble3D val="0"/>
            <c:spPr bwMode="auto">
              <a:prstGeom prst="rect">
                <a:avLst/>
              </a:prstGeom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 bwMode="auto">
              <a:prstGeom prst="rect">
                <a:avLst/>
              </a:prstGeom>
              <a:solidFill>
                <a:srgbClr val="0070C0"/>
              </a:solidFill>
              <a:ln>
                <a:noFill/>
              </a:ln>
              <a:effectLst/>
            </c:spPr>
          </c:dPt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 xml:space="preserve">'[ВТОРАЯ МЛАДШАЯ.xlsx]Физич'!$W$2:$W$4</c:f>
              <c:strCache>
                <c:ptCount val="3"/>
                <c:pt idx="0">
                  <c:v xml:space="preserve">Высокий уровень </c:v>
                </c:pt>
                <c:pt idx="1">
                  <c:v xml:space="preserve">Средний уровень</c:v>
                </c:pt>
                <c:pt idx="2">
                  <c:v xml:space="preserve">Низкий уровень</c:v>
                </c:pt>
              </c:strCache>
            </c:strRef>
          </c:cat>
          <c:val>
            <c:numRef>
              <c:f xml:space="preserve">'[ВТОРАЯ МЛАДШАЯ.xlsx]Физич'!$Y$2:$Y$4</c:f>
              <c:numCache>
                <c:formatCode>0%</c:formatCode>
                <c:ptCount val="3"/>
                <c:pt idx="0">
                  <c:v>0.58</c:v>
                </c:pt>
                <c:pt idx="1">
                  <c:v>0.37</c:v>
                </c:pt>
                <c:pt idx="2">
                  <c:v>0.05</c:v>
                </c:pt>
              </c:numCache>
            </c:numRef>
          </c:val>
        </c:ser>
        <c:dLbls>
          <c:dLblPos val="outEnd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219"/>
        <c:overlap val="-27"/>
        <c:axId val="187638688"/>
        <c:axId val="208027616"/>
      </c:barChart>
      <c:catAx>
        <c:axId val="18763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027616"/>
        <c:crosses val="autoZero"/>
        <c:auto val="1"/>
        <c:lblAlgn val="ctr"/>
        <c:lblOffset val="100"/>
        <c:noMultiLvlLbl val="0"/>
      </c:catAx>
      <c:valAx>
        <c:axId val="20802761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638688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0" cy="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 xmlns:r="http://schemas.openxmlformats.org/officeDocument/2006/relationships" xmlns:p="http://schemas.openxmlformats.org/presentation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9602942-3A53-4E7F-9140-6B1E38D8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Надежда Перминова</cp:lastModifiedBy>
  <cp:revision>66</cp:revision>
  <dcterms:created xsi:type="dcterms:W3CDTF">2011-11-02T04:15:00Z</dcterms:created>
  <dcterms:modified xsi:type="dcterms:W3CDTF">2022-07-13T07:39:11Z</dcterms:modified>
</cp:coreProperties>
</file>